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Ind w:w="-187" w:type="dxa"/>
        <w:tblCellMar>
          <w:left w:w="0" w:type="dxa"/>
          <w:right w:w="0" w:type="dxa"/>
        </w:tblCellMar>
        <w:tblLook w:val="01E0" w:firstRow="1" w:lastRow="1" w:firstColumn="1" w:lastColumn="1" w:noHBand="0" w:noVBand="0"/>
      </w:tblPr>
      <w:tblGrid>
        <w:gridCol w:w="3927"/>
        <w:gridCol w:w="5586"/>
      </w:tblGrid>
      <w:tr>
        <w:tc>
          <w:tcPr>
            <w:tcW w:w="3927" w:type="dxa"/>
          </w:tcPr>
          <w:p>
            <w:pPr>
              <w:keepNext/>
              <w:tabs>
                <w:tab w:val="center" w:pos="1425"/>
                <w:tab w:val="center" w:pos="6612"/>
              </w:tabs>
              <w:jc w:val="center"/>
              <w:rPr>
                <w:sz w:val="26"/>
              </w:rPr>
            </w:pPr>
            <w:r>
              <w:rPr>
                <w:sz w:val="26"/>
              </w:rPr>
              <w:t>UBMTTQ TỈNH BẮC NINH</w:t>
            </w:r>
          </w:p>
          <w:p>
            <w:pPr>
              <w:keepNext/>
              <w:tabs>
                <w:tab w:val="center" w:pos="1425"/>
                <w:tab w:val="center" w:pos="6612"/>
              </w:tabs>
              <w:jc w:val="center"/>
              <w:rPr>
                <w:b/>
              </w:rPr>
            </w:pPr>
            <w:r>
              <w:rPr>
                <w:b/>
                <w:sz w:val="26"/>
              </w:rPr>
              <w:t>LIÊN HIỆP CÁC HỘI KH&amp;KT</w:t>
            </w:r>
          </w:p>
          <w:p>
            <w:pPr>
              <w:keepNext/>
              <w:tabs>
                <w:tab w:val="center" w:pos="1425"/>
                <w:tab w:val="center" w:pos="6612"/>
              </w:tabs>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944880</wp:posOffset>
                      </wp:positionH>
                      <wp:positionV relativeFrom="paragraph">
                        <wp:posOffset>48259</wp:posOffset>
                      </wp:positionV>
                      <wp:extent cx="54292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4pt,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tjEAIAACc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"/>
                  </w:pict>
                </mc:Fallback>
              </mc:AlternateContent>
            </w:r>
          </w:p>
          <w:p>
            <w:pPr>
              <w:keepNext/>
              <w:tabs>
                <w:tab w:val="center" w:pos="1425"/>
                <w:tab w:val="center" w:pos="6612"/>
              </w:tabs>
              <w:jc w:val="center"/>
            </w:pPr>
            <w:r>
              <w:rPr>
                <w:sz w:val="26"/>
              </w:rPr>
              <w:t>Số:       /BC-LHH</w:t>
            </w:r>
          </w:p>
        </w:tc>
        <w:tc>
          <w:tcPr>
            <w:tcW w:w="5586" w:type="dxa"/>
          </w:tcPr>
          <w:p>
            <w:pPr>
              <w:keepNext/>
              <w:tabs>
                <w:tab w:val="center" w:pos="1425"/>
                <w:tab w:val="center" w:pos="6612"/>
              </w:tabs>
              <w:jc w:val="center"/>
              <w:rPr>
                <w:b/>
                <w:sz w:val="26"/>
              </w:rPr>
            </w:pPr>
            <w:r>
              <w:rPr>
                <w:b/>
                <w:sz w:val="26"/>
              </w:rPr>
              <w:t xml:space="preserve">CỘNG HOÀ XÃ HỘI CHỦ NGHĨA VIỆT </w:t>
            </w:r>
            <w:smartTag w:uri="urn:schemas-microsoft-com:office:smarttags" w:element="country-region">
              <w:smartTag w:uri="urn:schemas-microsoft-com:office:smarttags" w:element="place">
                <w:r>
                  <w:rPr>
                    <w:b/>
                    <w:sz w:val="26"/>
                  </w:rPr>
                  <w:t>NAM</w:t>
                </w:r>
              </w:smartTag>
            </w:smartTag>
          </w:p>
          <w:p>
            <w:pPr>
              <w:pStyle w:val="Heading1"/>
            </w:pPr>
            <w:r>
              <w:t>Độc lập - Tự do - Hạnh phúc</w:t>
            </w:r>
          </w:p>
          <w:p>
            <w:pPr>
              <w:keepNext/>
              <w:tabs>
                <w:tab w:val="center" w:pos="1425"/>
                <w:tab w:val="center" w:pos="6612"/>
              </w:tabs>
              <w:jc w:val="center"/>
              <w:rPr>
                <w:b/>
              </w:rPr>
            </w:pPr>
            <w:r>
              <w:rPr>
                <w:b/>
                <w:noProof/>
              </w:rPr>
              <mc:AlternateContent>
                <mc:Choice Requires="wps">
                  <w:drawing>
                    <wp:anchor distT="4294967295" distB="4294967295" distL="114300" distR="114300" simplePos="0" relativeHeight="251660288" behindDoc="0" locked="0" layoutInCell="1" allowOverlap="1">
                      <wp:simplePos x="0" y="0"/>
                      <wp:positionH relativeFrom="column">
                        <wp:posOffset>691515</wp:posOffset>
                      </wp:positionH>
                      <wp:positionV relativeFrom="paragraph">
                        <wp:posOffset>62864</wp:posOffset>
                      </wp:positionV>
                      <wp:extent cx="2135505" cy="0"/>
                      <wp:effectExtent l="0" t="0" r="1714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4.95pt" to="22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aJEgIAACg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"/>
                  </w:pict>
                </mc:Fallback>
              </mc:AlternateContent>
            </w:r>
          </w:p>
          <w:p>
            <w:pPr>
              <w:keepNext/>
              <w:tabs>
                <w:tab w:val="center" w:pos="1425"/>
                <w:tab w:val="center" w:pos="6612"/>
              </w:tabs>
              <w:jc w:val="center"/>
              <w:rPr>
                <w:i/>
              </w:rPr>
            </w:pPr>
            <w:r>
              <w:rPr>
                <w:i/>
                <w:sz w:val="28"/>
              </w:rPr>
              <w:t>Bắc Ninh, ngày    tháng 11 năm 2025</w:t>
            </w:r>
          </w:p>
        </w:tc>
      </w:tr>
    </w:tbl>
    <w:p>
      <w:pPr>
        <w:keepNext/>
        <w:tabs>
          <w:tab w:val="center" w:pos="2057"/>
        </w:tabs>
        <w:jc w:val="both"/>
        <w:rPr>
          <w:b/>
          <w:sz w:val="30"/>
        </w:rPr>
      </w:pPr>
      <w:r>
        <w:rPr>
          <w:b/>
          <w:sz w:val="30"/>
        </w:rPr>
        <w:tab/>
      </w:r>
    </w:p>
    <w:p>
      <w:pPr>
        <w:keepNext/>
        <w:spacing w:before="120"/>
        <w:jc w:val="center"/>
        <w:rPr>
          <w:b/>
          <w:sz w:val="30"/>
        </w:rPr>
      </w:pPr>
      <w:r>
        <w:rPr>
          <w:b/>
          <w:sz w:val="30"/>
        </w:rPr>
        <w:t>BÁO CÁO</w:t>
      </w:r>
    </w:p>
    <w:p>
      <w:pPr>
        <w:spacing w:line="330" w:lineRule="exact"/>
        <w:jc w:val="center"/>
        <w:rPr>
          <w:b/>
          <w:sz w:val="28"/>
          <w:szCs w:val="28"/>
        </w:rPr>
      </w:pPr>
      <w:r>
        <w:rPr>
          <w:b/>
          <w:sz w:val="28"/>
          <w:szCs w:val="28"/>
        </w:rPr>
        <w:t>kết quả hội thảo khoa học “Vận hành mô hình chính quyền địa phương 2 cấp - những vấn đề đặt ra và giải pháp”</w:t>
      </w:r>
    </w:p>
    <w:p>
      <w:pPr>
        <w:spacing w:line="330" w:lineRule="exact"/>
        <w:jc w:val="center"/>
        <w:rPr>
          <w:b/>
          <w:sz w:val="28"/>
          <w:szCs w:val="28"/>
        </w:rPr>
      </w:pPr>
      <w:r>
        <w:rPr>
          <w:b/>
          <w:sz w:val="28"/>
          <w:szCs w:val="28"/>
        </w:rPr>
        <w:t>------</w:t>
      </w:r>
    </w:p>
    <w:p>
      <w:pPr>
        <w:widowControl w:val="0"/>
        <w:spacing w:before="240" w:line="288" w:lineRule="auto"/>
        <w:ind w:firstLine="624"/>
        <w:jc w:val="both"/>
        <w:rPr>
          <w:sz w:val="28"/>
          <w:szCs w:val="28"/>
        </w:rPr>
      </w:pPr>
      <w:r>
        <w:rPr>
          <w:sz w:val="28"/>
          <w:szCs w:val="28"/>
        </w:rPr>
        <w:t xml:space="preserve"> Thực hiện Kế hoạch số 190/KH-LHH ngày 09/10/2025 của Liên hiệp các hội Khoa học và Kỹ thuật tỉnh về việc tổ chức Hội thảo khoa học "Vận hành mô hình chính quyền địa phương 2 cấp - những vấn đề đặt ra và giải pháp "</w:t>
      </w:r>
      <w:r>
        <w:rPr>
          <w:sz w:val="28"/>
        </w:rPr>
        <w:t>.</w:t>
      </w:r>
    </w:p>
    <w:p>
      <w:pPr>
        <w:widowControl w:val="0"/>
        <w:spacing w:before="120" w:line="288" w:lineRule="auto"/>
        <w:ind w:firstLine="624"/>
        <w:jc w:val="both"/>
        <w:rPr>
          <w:sz w:val="28"/>
          <w:szCs w:val="28"/>
        </w:rPr>
      </w:pPr>
      <w:r>
        <w:rPr>
          <w:sz w:val="28"/>
          <w:szCs w:val="28"/>
        </w:rPr>
        <w:t>Ngày 14/11/2024, Liên hiệp hội đã tổ chức thành công hội thảo; tham dự hội thảo có TS. Trần Anh Tuấn- nguyên Thứ trưởng Bộ Nội vụ, Chủ tịch Hiệp hội Khoa học Hành chính Việt Nam; TS. Đặng Huy Đông- nguyên Thứ trưởng Bộ Kế hoạch và Đầu tư, Viện trưởng Viện nghiên cứu Quy hoạch và Phát triển; TS. Phạm Tuấn Khải, nguyên Vụ trưởng Vụ Pháp luật, Văn phòng Chính phủ; TS. Phí Vĩnh Tường-  Phó Viện trưởng Viện Kinh tế Việt Nam và Thế giới; lãnh đạo một số sở, ngành của tỉnh: Nội vụ, Khoa học và Công nghệ, Xây dựng, Nông nghiệp và Môi trường, Sở Tài chính; đại diện lãnh đạo Đảng ủy, UBND của trên 30 xã, phường của tỉnh…</w:t>
      </w:r>
    </w:p>
    <w:p>
      <w:pPr>
        <w:pStyle w:val="ListParagraph"/>
        <w:widowControl w:val="0"/>
        <w:numPr>
          <w:ilvl w:val="0"/>
          <w:numId w:val="3"/>
        </w:numPr>
        <w:spacing w:before="120" w:line="288" w:lineRule="auto"/>
        <w:jc w:val="both"/>
        <w:rPr>
          <w:b/>
          <w:sz w:val="28"/>
          <w:szCs w:val="28"/>
        </w:rPr>
      </w:pPr>
      <w:r>
        <w:rPr>
          <w:b/>
          <w:sz w:val="28"/>
          <w:szCs w:val="28"/>
        </w:rPr>
        <w:t>Kết quả Hội thảo</w:t>
      </w:r>
    </w:p>
    <w:p>
      <w:pPr>
        <w:widowControl w:val="0"/>
        <w:spacing w:before="120" w:line="288" w:lineRule="auto"/>
        <w:ind w:firstLine="624"/>
        <w:jc w:val="both"/>
        <w:rPr>
          <w:sz w:val="28"/>
          <w:szCs w:val="28"/>
        </w:rPr>
      </w:pPr>
      <w:r>
        <w:rPr>
          <w:sz w:val="28"/>
          <w:szCs w:val="28"/>
        </w:rPr>
        <w:t>Tại hội thảo, các đại biểu các đại biểu tập trung trao đổi, thảo luận, chia sẻ, tư vấn một số nội dung trọng tâm như: Giải pháp hoàn thiện mô hình chính quyền địa phương 2 cấp đáp ứng yêu cầu trong giai đoạn tới; Giải pháp tháo gỡ những khó khăn, vướng mắc, bất cập trong vận hành chính quyền cấp xã hiện nay; Nâng cao năng lực quản trị và phục vụ người dân trong vận hành mô hình chính quyền địa phương 2 cấp; Công tác quản lý quy hoạch, xây dựng và phát triển đô thị đối với xã, phường trong bối cảnh không tổ chức chính quyền cấp huyện; Công tác quản lý ngành, lĩnh vực và phân cấp, phân quyền đối với cấp phường, xã; Giải pháp về kiện toàn tổ chức, bộ máy, đào tạo, bồi dưỡng và bố trí sắp xếp cán bộ cấp xã, phường sau sáp nhập; Ứng dụng chuyển đổi số trong quản trị địa phương 2 cấp…</w:t>
      </w:r>
    </w:p>
    <w:p>
      <w:pPr>
        <w:widowControl w:val="0"/>
        <w:spacing w:before="120" w:line="288" w:lineRule="auto"/>
        <w:ind w:firstLine="624"/>
        <w:jc w:val="both"/>
        <w:rPr>
          <w:sz w:val="28"/>
          <w:szCs w:val="28"/>
        </w:rPr>
      </w:pPr>
      <w:r>
        <w:rPr>
          <w:sz w:val="28"/>
          <w:szCs w:val="28"/>
        </w:rPr>
        <w:t>Đồng thời, các đại biểu tham dự Hội thảo đã trao đổi, làm rõ những hạn chế, khó khăn, vướng mắc, bất cập hiện nay trong quá trình vận hành mô hình chính quyền địa phương 2 cấp sau 5 tháng triển khai và phản ánh cụ thể như:</w:t>
      </w:r>
    </w:p>
    <w:p>
      <w:pPr>
        <w:widowControl w:val="0"/>
        <w:spacing w:before="120" w:line="288" w:lineRule="auto"/>
        <w:ind w:firstLine="624"/>
        <w:jc w:val="both"/>
        <w:rPr>
          <w:sz w:val="28"/>
          <w:szCs w:val="28"/>
        </w:rPr>
      </w:pPr>
      <w:r>
        <w:rPr>
          <w:i/>
          <w:sz w:val="28"/>
          <w:szCs w:val="28"/>
        </w:rPr>
        <w:t>- Bất cập về thể chế và cơ sở pháp lý:</w:t>
      </w:r>
      <w:r>
        <w:rPr>
          <w:sz w:val="28"/>
          <w:szCs w:val="28"/>
        </w:rPr>
        <w:t xml:space="preserve"> (i) Một số quy định, văn bản hướng dẫn của Trung ương về tổ chức mô hình chính quyền 2 cấp, nhất là phân cấp quản lý đầu </w:t>
      </w:r>
      <w:r>
        <w:rPr>
          <w:sz w:val="28"/>
          <w:szCs w:val="28"/>
        </w:rPr>
        <w:lastRenderedPageBreak/>
        <w:t>tư xây dựng, quản lý đất đai, đô thị, chế độ chính sách đối với cán bộ cơ sở… ban hành chậm, còn chồng chéo, khó khăn trong thực thi. (ii)</w:t>
      </w:r>
      <w:r>
        <w:t xml:space="preserve"> C</w:t>
      </w:r>
      <w:r>
        <w:rPr>
          <w:sz w:val="28"/>
          <w:szCs w:val="28"/>
        </w:rPr>
        <w:t>hức năng, nhiệm vụ giữa các cơ quan chuyên môn cấp tỉnh trong chỉ đạo, hướng dẫn các phòng chuyên môn thuộc UBND xã/phường còn trùng lắp. (iii) Trung tâm cung ứng dịch vụ sự nghiệp công cấp xã chưa được xác định chức năng, nhiệm vụ và định biên cụ thể, nên thực hiện còn thiếu thống nhất. (iv) Cơ chế quản lý các nguồn thu tại địa phương sau khi vận hành chính quyền 2 cấp còn nhiều bất cập do chưa có văn bản hướng dẫn cụ thể về phân cấp thu, chi ngân sách.</w:t>
      </w:r>
    </w:p>
    <w:p>
      <w:pPr>
        <w:widowControl w:val="0"/>
        <w:spacing w:before="120" w:line="288" w:lineRule="auto"/>
        <w:ind w:firstLine="624"/>
        <w:jc w:val="both"/>
        <w:rPr>
          <w:sz w:val="28"/>
          <w:szCs w:val="28"/>
        </w:rPr>
      </w:pPr>
      <w:r>
        <w:rPr>
          <w:i/>
          <w:sz w:val="28"/>
          <w:szCs w:val="28"/>
        </w:rPr>
        <w:t xml:space="preserve">- Hạn chế trong cung ứng dịch vụ công, dịch vụ hành chính công: </w:t>
      </w:r>
      <w:r>
        <w:rPr>
          <w:sz w:val="28"/>
          <w:szCs w:val="28"/>
        </w:rPr>
        <w:t>(i) Nhiều cơ sở dữ liệu quốc gia và ngành dọc hiện chưa cho phép khai thác, đồng bộ với hệ thống của tỉnh, nhất là các lĩnh vực phát sinh nhiều hồ sơ và có nhu cầu sử dụng thường xuyên; Nhiều UBND xã, phường phản ánh khó khăn thường xảy ra lỗi hệ thống dịch vụ hành chính công trực tuyến, lỗi đồng bộ thông tin giữa một số hệ thống phần mềm với Hệ thống thông tin giải quyết TTHC của tỉnh; lỗi hệ thống thanh toán phí trực tuyến; Hệ thống thông tin điều hành tác nghiệp các cơ quan đảng có lúc trục trặc, có hiện tượng quá tải, nghẽn hệ thống, gặp khó khăn trong xử lý và điều hành; (ii) Do sáp nhập, một số xã, phường dân số đông, số lượng hồ sơ tiếp nhận trong ngày nhiều, nên ảnh hưởng đến tiến độ giải quyết TTHC cho người dân. Tỷ lệ hồ sơ tiếp nhận và giải quyết trực tuyến còn thấp, chủ yếu do người dân vẫn nộp trực tiếp, chưa quen với dịch vụ công và do khả năng sử dụng công nghệ thông tin trong thực hiện TTHC của người dân còn nhiều hạn chế.</w:t>
      </w:r>
    </w:p>
    <w:p>
      <w:pPr>
        <w:widowControl w:val="0"/>
        <w:spacing w:before="120" w:line="288" w:lineRule="auto"/>
        <w:ind w:firstLine="624"/>
        <w:jc w:val="both"/>
        <w:rPr>
          <w:sz w:val="28"/>
          <w:szCs w:val="28"/>
        </w:rPr>
      </w:pPr>
      <w:r>
        <w:rPr>
          <w:i/>
          <w:sz w:val="28"/>
          <w:szCs w:val="28"/>
        </w:rPr>
        <w:t xml:space="preserve">- Khó khăn về cơ sở vật chất và đội ngũ cán bộ: </w:t>
      </w:r>
      <w:r>
        <w:rPr>
          <w:sz w:val="28"/>
          <w:szCs w:val="28"/>
        </w:rPr>
        <w:t xml:space="preserve">(i) Trụ sở làm việc ở một số xã, phường còn phân tán. Trang thiết bị xuống cấp, hạ tầng công nghệ thông tin (CNTT) chưa đồng bộ; một số nơi trung tâm hành chính công diện tích hẹp, chưa được nhu cầu phục vụ của người dân. (ii) Khối lượng công việc của cấp xã đã tăng gấp nhiều lần so với trước khi sáp nhập; mỗi xã chỉ có hai phòng chuyên môn, biên chế ít, phải đảm nhiệm công việc của 4 phòng chuyên môn cấp huyện trước đây; chịu sự quản lý, chỉ đạo nghiệp vụ của 05 - 06 sở, ngành cấp tỉnh, dẫn tới tình trạng quá tải trong công việc. Nhiều vị trí phải kiêm nhiệm, không có công chức đúng chuyên môn để bố trí (như chuyên môn về tin học, giáo dục, nông nghiệp, xây dựng, quy hoạch, kế hoạch, tài chính…). (iii) Việc tinh giản biên chế, cắt giảm chức danh không chuyên trách dẫn tới thiếu hụt nhân lực thực hiện một số nhiệm vụ quan trọng ở cơ sở (PCCC rừng, thú y, khuyến nông,…), trong khi khối lượng công việc tăng lên do mở rộng địa bàn và dân số (iv) Sau sáp nhập, số lượng các báo cáo thường xuyên, đột xuất theo yêu cầu tăng cao, cần dành nhiều thời gian, kể cả thời gian ngoài giờ để thực hiện cả các nhiệm vụ hành chính và chuyên môn mới hoàn thành, </w:t>
      </w:r>
    </w:p>
    <w:p>
      <w:pPr>
        <w:widowControl w:val="0"/>
        <w:spacing w:before="120" w:line="288" w:lineRule="auto"/>
        <w:ind w:firstLine="624"/>
        <w:jc w:val="both"/>
        <w:rPr>
          <w:sz w:val="28"/>
          <w:szCs w:val="28"/>
        </w:rPr>
      </w:pPr>
      <w:r>
        <w:rPr>
          <w:i/>
          <w:sz w:val="28"/>
          <w:szCs w:val="28"/>
        </w:rPr>
        <w:lastRenderedPageBreak/>
        <w:t>- Hạn chế trong công tác quy hoạch, xây dựng, phát triển đô thị và bảo vệ môi trường:</w:t>
      </w:r>
      <w:r>
        <w:rPr>
          <w:sz w:val="28"/>
          <w:szCs w:val="28"/>
        </w:rPr>
        <w:t xml:space="preserve"> (i) Nhiều quy hoạch chi tiết ở cấp xã/phường chưa được lập hoặc điều chỉnh kịp thời sau sáp nhập; địa giới hành chính mới chưa được cập nhật đầy đủ vào các đồ án quy hoạch, gây khó khăn cho quản lý xây dựng, quản lý đất đai và thu hút đầu tư. (ii) Hồ sơ, bản đồ quy hoạch còn quản lý thủ công, chưa được số hóa, thiếu cơ sở dữ liệu thống nhất từ tỉnh đến xã, làm chậm giải quyết các thủ tục về đất đai. (iii) Cơ chế phối hợp với các sở, ngành của tỉnh trong thẩm định dự án, quản lý quy hoạch và đầu tư hạ tầng chưa chặt chẽ, đồng bộ. (iv) Một số xã sau sáp nhập chưa quy hoạch được vị trí tập kết và đầu tư hệ thống xử lý rác thải của xã.</w:t>
      </w:r>
    </w:p>
    <w:p>
      <w:pPr>
        <w:widowControl w:val="0"/>
        <w:spacing w:before="120" w:line="288" w:lineRule="auto"/>
        <w:ind w:firstLine="624"/>
        <w:jc w:val="both"/>
        <w:rPr>
          <w:b/>
          <w:sz w:val="28"/>
          <w:szCs w:val="30"/>
        </w:rPr>
      </w:pPr>
      <w:r>
        <w:rPr>
          <w:b/>
          <w:sz w:val="28"/>
          <w:szCs w:val="30"/>
        </w:rPr>
        <w:t>2. Đề xuất và kiến nghị với UBND tỉnh</w:t>
      </w:r>
    </w:p>
    <w:p>
      <w:pPr>
        <w:spacing w:before="120" w:line="288" w:lineRule="auto"/>
        <w:ind w:firstLine="624"/>
        <w:jc w:val="both"/>
        <w:rPr>
          <w:sz w:val="28"/>
          <w:szCs w:val="28"/>
        </w:rPr>
      </w:pPr>
      <w:r>
        <w:rPr>
          <w:sz w:val="28"/>
          <w:szCs w:val="28"/>
        </w:rPr>
        <w:t>- Kiến nghị các Bộ, ngành Trung ương sớm cho phép kết nối, chia sẻ các CSDL quốc gia liên quan với Hệ thống thông tin giải quyết TTHC của tỉnh, nhằm cắt giảm giấy tờ cho người dân và doanh nghiệp; bảo đảm hệ thống dịch vụ hành chính công trực tuyến hoạt động thông suốt.</w:t>
      </w:r>
    </w:p>
    <w:p>
      <w:pPr>
        <w:spacing w:before="120" w:line="288" w:lineRule="auto"/>
        <w:ind w:firstLine="624"/>
        <w:jc w:val="both"/>
        <w:rPr>
          <w:sz w:val="28"/>
          <w:szCs w:val="28"/>
        </w:rPr>
      </w:pPr>
      <w:r>
        <w:rPr>
          <w:sz w:val="28"/>
          <w:szCs w:val="28"/>
        </w:rPr>
        <w:t>- Chỉ đạo rà soát Hệ thống thông tin giải quyết TTHC của tỉnh bảo đảm vận hành thông suốt, hiệu quả; hoàn thiện quy trình các TTHC cấp xã để đảm bảo tính đơn giản, minh bạch và phù hợp với mô hình chính quyền 2 cấp sau sắp xếp; tăng cường áp dụng chứng thực điện tử và hỗ trợ cho người dân và doanh nghiệp nộp hồ sơ trực tuyến tại nhà hoặc thôn, tổ dân phố.</w:t>
      </w:r>
    </w:p>
    <w:p>
      <w:pPr>
        <w:spacing w:before="120" w:line="288" w:lineRule="auto"/>
        <w:ind w:firstLine="624"/>
        <w:jc w:val="both"/>
        <w:rPr>
          <w:sz w:val="28"/>
          <w:szCs w:val="28"/>
        </w:rPr>
      </w:pPr>
      <w:r>
        <w:rPr>
          <w:sz w:val="28"/>
          <w:szCs w:val="28"/>
        </w:rPr>
        <w:t>- Chỉ đạo rà soát toàn bộ hệ thống quy hoạch hiện có; tổ chức điều chỉnh đảm bảo phù hợp với hệ thống các cấp quy hoạch và với quy hoạch sử dụng đất. Bổ sung nguồn lực về nhân sự, tài chính cho công tác lập và điều chỉnh quy hoạch ở cấp xã, phường.</w:t>
      </w:r>
    </w:p>
    <w:p>
      <w:pPr>
        <w:spacing w:before="120" w:line="288" w:lineRule="auto"/>
        <w:ind w:firstLine="624"/>
        <w:jc w:val="both"/>
        <w:rPr>
          <w:sz w:val="28"/>
          <w:szCs w:val="28"/>
        </w:rPr>
      </w:pPr>
      <w:r>
        <w:rPr>
          <w:sz w:val="28"/>
          <w:szCs w:val="28"/>
        </w:rPr>
        <w:t xml:space="preserve">- Chỉ đạo Sở Nội vụ hướng dẫn xây dựng vị trí việc làm và khung định biên đối với cấp xã, nhằm đáp ứng yêu cầu công việc sau sáp nhập; rà soát, điều chuyển, bố trí đủ biên chế và công chức chuyên môn lĩnh vực của những xã còn thiếu; kiện toàn tổ chức, bộ máy, đào tạo, bồi dưỡng và bố trí sắp xếp cán bộ cấp xã, phường sau sáp nhập. </w:t>
      </w:r>
    </w:p>
    <w:p>
      <w:pPr>
        <w:spacing w:before="120" w:line="288" w:lineRule="auto"/>
        <w:ind w:firstLine="624"/>
        <w:jc w:val="both"/>
        <w:rPr>
          <w:sz w:val="28"/>
          <w:szCs w:val="28"/>
        </w:rPr>
      </w:pPr>
      <w:r>
        <w:rPr>
          <w:sz w:val="28"/>
          <w:szCs w:val="28"/>
        </w:rPr>
        <w:t>- Có cơ chế và chính sách thay thế ngay cán bộ, công chức không đáp ứng được yêu cầu nhiệm vụ. Phân cấp cho cấp xã trong tuyển dụng cán bộ.</w:t>
      </w:r>
    </w:p>
    <w:p>
      <w:pPr>
        <w:spacing w:before="120" w:line="288" w:lineRule="auto"/>
        <w:ind w:firstLine="624"/>
        <w:jc w:val="both"/>
        <w:rPr>
          <w:sz w:val="28"/>
          <w:szCs w:val="28"/>
        </w:rPr>
      </w:pPr>
      <w:r>
        <w:rPr>
          <w:sz w:val="28"/>
          <w:szCs w:val="28"/>
        </w:rPr>
        <w:t>- Nghiên cứu có chế độ hỗ trợ cho cán bộ, công chức là đầu mối kiểm soát thủ tục hành chính cấp xã; hỗ trợ chế độ, chính sách cho cán bộ, công chức làm việc tại Trung tâm Phục vụ hành chính công cấp xã như: hỗ trợ kinh phí trực làm việc, hỗ trợ may trang phục.</w:t>
      </w:r>
    </w:p>
    <w:p>
      <w:pPr>
        <w:spacing w:before="120" w:line="288" w:lineRule="auto"/>
        <w:ind w:firstLine="624"/>
        <w:jc w:val="both"/>
        <w:rPr>
          <w:sz w:val="28"/>
          <w:szCs w:val="28"/>
        </w:rPr>
      </w:pPr>
      <w:r>
        <w:rPr>
          <w:sz w:val="28"/>
          <w:szCs w:val="28"/>
        </w:rPr>
        <w:lastRenderedPageBreak/>
        <w:t>- Sớm có quy định, hướng dẫn cụ thể về chức năng, nhiệm vụ, cơ cấu biên chế, tổ chức hoạt động của Trung tâm cung ứng dịch vụ sự nghiệp công cấp xã.</w:t>
      </w:r>
    </w:p>
    <w:p>
      <w:pPr>
        <w:spacing w:before="120" w:line="288" w:lineRule="auto"/>
        <w:ind w:firstLine="624"/>
        <w:jc w:val="both"/>
        <w:rPr>
          <w:sz w:val="28"/>
          <w:szCs w:val="28"/>
        </w:rPr>
      </w:pPr>
      <w:r>
        <w:rPr>
          <w:sz w:val="28"/>
          <w:szCs w:val="28"/>
        </w:rPr>
        <w:t>- Chỉ đạo các sở, ngành đổi mới hình thức thông tin, báo cáo theo hướng ngắn gọn, theo form mẫu, cắt giảm báo cáo không cần thiết, giảm gánh nặng hành chính cho cơ sở.</w:t>
      </w:r>
    </w:p>
    <w:p>
      <w:pPr>
        <w:spacing w:before="120" w:line="288" w:lineRule="auto"/>
        <w:ind w:firstLine="624"/>
        <w:jc w:val="both"/>
        <w:rPr>
          <w:sz w:val="28"/>
          <w:szCs w:val="28"/>
        </w:rPr>
      </w:pPr>
      <w:r>
        <w:rPr>
          <w:sz w:val="28"/>
          <w:szCs w:val="28"/>
        </w:rPr>
        <w:t>- Quan tâm bổ sung ngay kinh phí đầu tư, nâng cấp trang thiết bị CNTT cho các xã, phường, để đáp ứng nhiệm vụ được giao.</w:t>
      </w:r>
    </w:p>
    <w:p>
      <w:pPr>
        <w:spacing w:before="120" w:line="288" w:lineRule="auto"/>
        <w:ind w:firstLine="624"/>
        <w:jc w:val="both"/>
        <w:rPr>
          <w:sz w:val="28"/>
          <w:szCs w:val="28"/>
        </w:rPr>
      </w:pPr>
      <w:r>
        <w:rPr>
          <w:sz w:val="28"/>
          <w:szCs w:val="28"/>
        </w:rPr>
        <w:t>Liên hiệp các hội Khoa học và Kỹ thuật tỉnh trân trọng báo cáo./.</w:t>
      </w:r>
    </w:p>
    <w:p>
      <w:pPr>
        <w:jc w:val="both"/>
        <w:rPr>
          <w:sz w:val="28"/>
          <w:szCs w:val="28"/>
          <w:lang w:val="vi-VN"/>
        </w:rPr>
      </w:pPr>
    </w:p>
    <w:tbl>
      <w:tblPr>
        <w:tblW w:w="0" w:type="auto"/>
        <w:tblInd w:w="108" w:type="dxa"/>
        <w:tblLook w:val="01E0" w:firstRow="1" w:lastRow="1" w:firstColumn="1" w:lastColumn="1" w:noHBand="0" w:noVBand="0"/>
      </w:tblPr>
      <w:tblGrid>
        <w:gridCol w:w="4253"/>
        <w:gridCol w:w="5245"/>
      </w:tblGrid>
      <w:tr>
        <w:tc>
          <w:tcPr>
            <w:tcW w:w="4253" w:type="dxa"/>
          </w:tcPr>
          <w:p>
            <w:pPr>
              <w:rPr>
                <w:b/>
                <w:i/>
              </w:rPr>
            </w:pPr>
            <w:r>
              <w:rPr>
                <w:b/>
                <w:i/>
                <w:lang w:val="vi-VN"/>
              </w:rPr>
              <w:t>Nơi nhận:</w:t>
            </w:r>
          </w:p>
          <w:p>
            <w:pPr>
              <w:rPr>
                <w:bCs/>
              </w:rPr>
            </w:pPr>
            <w:r>
              <w:rPr>
                <w:bCs/>
                <w:noProof/>
              </w:rPr>
              <mc:AlternateContent>
                <mc:Choice Requires="wps">
                  <w:drawing>
                    <wp:anchor distT="0" distB="0" distL="114300" distR="114300" simplePos="0" relativeHeight="251662336" behindDoc="0" locked="0" layoutInCell="1" allowOverlap="1">
                      <wp:simplePos x="0" y="0"/>
                      <wp:positionH relativeFrom="column">
                        <wp:posOffset>2246630</wp:posOffset>
                      </wp:positionH>
                      <wp:positionV relativeFrom="paragraph">
                        <wp:posOffset>53975</wp:posOffset>
                      </wp:positionV>
                      <wp:extent cx="0" cy="4724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0" cy="472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9pt,4.25pt" to="176.9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" strokecolor="#4579b8 [3044]"/>
                  </w:pict>
                </mc:Fallback>
              </mc:AlternateContent>
            </w:r>
            <w:r>
              <w:rPr>
                <w:bCs/>
              </w:rPr>
              <w:t xml:space="preserve">- TT Tỉnh ủy, HĐND, UBND tỉnh      </w:t>
            </w:r>
            <w:bookmarkStart w:id="0" w:name="_GoBack"/>
            <w:bookmarkEnd w:id="0"/>
            <w:r>
              <w:rPr>
                <w:bCs/>
              </w:rPr>
              <w:t>báo</w:t>
            </w:r>
            <w:r>
              <w:rPr>
                <w:bCs/>
              </w:rPr>
              <w:t xml:space="preserve">                       </w:t>
            </w:r>
          </w:p>
          <w:p>
            <w:pPr>
              <w:rPr>
                <w:bCs/>
              </w:rPr>
            </w:pPr>
            <w:r>
              <w:rPr>
                <w:bCs/>
              </w:rPr>
              <w:t xml:space="preserve">- Đ/c Mai Sơn, PCT TT UBND tỉnh   </w:t>
            </w:r>
            <w:r>
              <w:rPr>
                <w:bCs/>
              </w:rPr>
              <w:t>cáo</w:t>
            </w:r>
          </w:p>
          <w:p>
            <w:pPr>
              <w:rPr>
                <w:bCs/>
              </w:rPr>
            </w:pPr>
            <w:r>
              <w:rPr>
                <w:bCs/>
              </w:rPr>
              <w:t xml:space="preserve">- Ủy ban MTTQ tỉnh   </w:t>
            </w:r>
          </w:p>
          <w:p>
            <w:pPr>
              <w:rPr>
                <w:sz w:val="22"/>
                <w:lang w:val="vi-VN"/>
              </w:rPr>
            </w:pPr>
            <w:r>
              <w:rPr>
                <w:sz w:val="22"/>
                <w:lang w:val="vi-VN"/>
              </w:rPr>
              <w:t>- Lưu TVPB, VT.</w:t>
            </w:r>
          </w:p>
        </w:tc>
        <w:tc>
          <w:tcPr>
            <w:tcW w:w="5245" w:type="dxa"/>
          </w:tcPr>
          <w:p>
            <w:pPr>
              <w:jc w:val="center"/>
              <w:rPr>
                <w:b/>
                <w:lang w:val="vi-VN"/>
              </w:rPr>
            </w:pPr>
            <w:r>
              <w:rPr>
                <w:b/>
                <w:sz w:val="28"/>
                <w:lang w:val="vi-VN"/>
              </w:rPr>
              <w:t>TM. BAN THƯỜNG VỤ</w:t>
            </w:r>
          </w:p>
          <w:p>
            <w:pPr>
              <w:jc w:val="center"/>
              <w:rPr>
                <w:b/>
                <w:lang w:val="vi-VN"/>
              </w:rPr>
            </w:pPr>
            <w:r>
              <w:rPr>
                <w:b/>
                <w:sz w:val="28"/>
                <w:lang w:val="vi-VN"/>
              </w:rPr>
              <w:t>CHỦ TỊCH</w:t>
            </w:r>
          </w:p>
          <w:p>
            <w:pPr>
              <w:jc w:val="center"/>
              <w:rPr>
                <w:b/>
                <w:sz w:val="30"/>
                <w:lang w:val="vi-VN"/>
              </w:rPr>
            </w:pPr>
          </w:p>
          <w:p>
            <w:pPr>
              <w:jc w:val="center"/>
              <w:rPr>
                <w:b/>
                <w:sz w:val="32"/>
              </w:rPr>
            </w:pPr>
          </w:p>
          <w:p/>
          <w:p>
            <w:pPr>
              <w:jc w:val="center"/>
              <w:rPr>
                <w:b/>
                <w:sz w:val="32"/>
                <w:lang w:val="vi-VN"/>
              </w:rPr>
            </w:pPr>
          </w:p>
          <w:p>
            <w:pPr>
              <w:spacing w:before="120"/>
              <w:jc w:val="center"/>
              <w:rPr>
                <w:b/>
              </w:rPr>
            </w:pPr>
            <w:r>
              <w:rPr>
                <w:b/>
                <w:sz w:val="28"/>
              </w:rPr>
              <w:t>Ngô Chí Vinh</w:t>
            </w:r>
          </w:p>
        </w:tc>
      </w:tr>
    </w:tbl>
    <w:p>
      <w:pPr>
        <w:ind w:firstLine="720"/>
        <w:jc w:val="center"/>
      </w:pPr>
    </w:p>
    <w:p/>
    <w:sectPr>
      <w:footerReference w:type="even" r:id="rId9"/>
      <w:footerReference w:type="default" r:id="rId10"/>
      <w:pgSz w:w="11907" w:h="16840" w:code="9"/>
      <w:pgMar w:top="1134" w:right="90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77B98"/>
    <w:multiLevelType w:val="hybridMultilevel"/>
    <w:tmpl w:val="70781AEC"/>
    <w:lvl w:ilvl="0" w:tplc="BACA7BB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nsid w:val="30F13BA2"/>
    <w:multiLevelType w:val="hybridMultilevel"/>
    <w:tmpl w:val="D5F4AF2E"/>
    <w:lvl w:ilvl="0" w:tplc="FE28CD30">
      <w:start w:val="1"/>
      <w:numFmt w:val="bullet"/>
      <w:lvlText w:val="•"/>
      <w:lvlJc w:val="left"/>
      <w:pPr>
        <w:tabs>
          <w:tab w:val="num" w:pos="720"/>
        </w:tabs>
        <w:ind w:left="720" w:hanging="360"/>
      </w:pPr>
      <w:rPr>
        <w:rFonts w:ascii="Times New Roman" w:hAnsi="Times New Roman" w:hint="default"/>
      </w:rPr>
    </w:lvl>
    <w:lvl w:ilvl="1" w:tplc="5CCEC22E" w:tentative="1">
      <w:start w:val="1"/>
      <w:numFmt w:val="bullet"/>
      <w:lvlText w:val="•"/>
      <w:lvlJc w:val="left"/>
      <w:pPr>
        <w:tabs>
          <w:tab w:val="num" w:pos="1440"/>
        </w:tabs>
        <w:ind w:left="1440" w:hanging="360"/>
      </w:pPr>
      <w:rPr>
        <w:rFonts w:ascii="Times New Roman" w:hAnsi="Times New Roman" w:hint="default"/>
      </w:rPr>
    </w:lvl>
    <w:lvl w:ilvl="2" w:tplc="DEBC6B34" w:tentative="1">
      <w:start w:val="1"/>
      <w:numFmt w:val="bullet"/>
      <w:lvlText w:val="•"/>
      <w:lvlJc w:val="left"/>
      <w:pPr>
        <w:tabs>
          <w:tab w:val="num" w:pos="2160"/>
        </w:tabs>
        <w:ind w:left="2160" w:hanging="360"/>
      </w:pPr>
      <w:rPr>
        <w:rFonts w:ascii="Times New Roman" w:hAnsi="Times New Roman" w:hint="default"/>
      </w:rPr>
    </w:lvl>
    <w:lvl w:ilvl="3" w:tplc="419C6408" w:tentative="1">
      <w:start w:val="1"/>
      <w:numFmt w:val="bullet"/>
      <w:lvlText w:val="•"/>
      <w:lvlJc w:val="left"/>
      <w:pPr>
        <w:tabs>
          <w:tab w:val="num" w:pos="2880"/>
        </w:tabs>
        <w:ind w:left="2880" w:hanging="360"/>
      </w:pPr>
      <w:rPr>
        <w:rFonts w:ascii="Times New Roman" w:hAnsi="Times New Roman" w:hint="default"/>
      </w:rPr>
    </w:lvl>
    <w:lvl w:ilvl="4" w:tplc="1A4658AC" w:tentative="1">
      <w:start w:val="1"/>
      <w:numFmt w:val="bullet"/>
      <w:lvlText w:val="•"/>
      <w:lvlJc w:val="left"/>
      <w:pPr>
        <w:tabs>
          <w:tab w:val="num" w:pos="3600"/>
        </w:tabs>
        <w:ind w:left="3600" w:hanging="360"/>
      </w:pPr>
      <w:rPr>
        <w:rFonts w:ascii="Times New Roman" w:hAnsi="Times New Roman" w:hint="default"/>
      </w:rPr>
    </w:lvl>
    <w:lvl w:ilvl="5" w:tplc="56CE729E" w:tentative="1">
      <w:start w:val="1"/>
      <w:numFmt w:val="bullet"/>
      <w:lvlText w:val="•"/>
      <w:lvlJc w:val="left"/>
      <w:pPr>
        <w:tabs>
          <w:tab w:val="num" w:pos="4320"/>
        </w:tabs>
        <w:ind w:left="4320" w:hanging="360"/>
      </w:pPr>
      <w:rPr>
        <w:rFonts w:ascii="Times New Roman" w:hAnsi="Times New Roman" w:hint="default"/>
      </w:rPr>
    </w:lvl>
    <w:lvl w:ilvl="6" w:tplc="A8900E20" w:tentative="1">
      <w:start w:val="1"/>
      <w:numFmt w:val="bullet"/>
      <w:lvlText w:val="•"/>
      <w:lvlJc w:val="left"/>
      <w:pPr>
        <w:tabs>
          <w:tab w:val="num" w:pos="5040"/>
        </w:tabs>
        <w:ind w:left="5040" w:hanging="360"/>
      </w:pPr>
      <w:rPr>
        <w:rFonts w:ascii="Times New Roman" w:hAnsi="Times New Roman" w:hint="default"/>
      </w:rPr>
    </w:lvl>
    <w:lvl w:ilvl="7" w:tplc="3022172E" w:tentative="1">
      <w:start w:val="1"/>
      <w:numFmt w:val="bullet"/>
      <w:lvlText w:val="•"/>
      <w:lvlJc w:val="left"/>
      <w:pPr>
        <w:tabs>
          <w:tab w:val="num" w:pos="5760"/>
        </w:tabs>
        <w:ind w:left="5760" w:hanging="360"/>
      </w:pPr>
      <w:rPr>
        <w:rFonts w:ascii="Times New Roman" w:hAnsi="Times New Roman" w:hint="default"/>
      </w:rPr>
    </w:lvl>
    <w:lvl w:ilvl="8" w:tplc="A46AFDF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85D4A26"/>
    <w:multiLevelType w:val="hybridMultilevel"/>
    <w:tmpl w:val="56380D88"/>
    <w:lvl w:ilvl="0" w:tplc="49CA517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paragraph" w:styleId="Heading1">
    <w:name w:val="heading 1"/>
    <w:basedOn w:val="Normal"/>
    <w:next w:val="Normal"/>
    <w:link w:val="Heading1Char"/>
    <w:qFormat/>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cs="Times New Roman"/>
      <w:b/>
      <w:szCs w:val="24"/>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eastAsia="Times New Roman" w:cs="Times New Roman"/>
      <w:sz w:val="24"/>
      <w:szCs w:val="24"/>
    </w:rPr>
  </w:style>
  <w:style w:type="character" w:styleId="PageNumber">
    <w:name w:val="page number"/>
    <w:rPr>
      <w:rFonts w:ascii="Times New Roman" w:eastAsia="Times New Roman" w:hAnsi="Times New Roman" w:cs="Times New Roman"/>
    </w:rPr>
  </w:style>
  <w:style w:type="paragraph" w:styleId="BodyTextIndent">
    <w:name w:val="Body Text Indent"/>
    <w:basedOn w:val="Normal"/>
    <w:link w:val="BodyTextIndentChar"/>
    <w:pPr>
      <w:spacing w:before="120"/>
      <w:ind w:firstLine="567"/>
      <w:jc w:val="both"/>
    </w:pPr>
    <w:rPr>
      <w:sz w:val="28"/>
    </w:rPr>
  </w:style>
  <w:style w:type="character" w:customStyle="1" w:styleId="BodyTextIndentChar">
    <w:name w:val="Body Text Indent Char"/>
    <w:basedOn w:val="DefaultParagraphFont"/>
    <w:link w:val="BodyTextIndent"/>
    <w:rPr>
      <w:rFonts w:eastAsia="Times New Roman" w:cs="Times New Roman"/>
      <w:szCs w:val="24"/>
    </w:rPr>
  </w:style>
  <w:style w:type="paragraph" w:styleId="BodyTextIndent2">
    <w:name w:val="Body Text Indent 2"/>
    <w:basedOn w:val="Normal"/>
    <w:link w:val="BodyTextIndent2Char"/>
    <w:pPr>
      <w:spacing w:before="120"/>
      <w:ind w:firstLine="748"/>
      <w:jc w:val="both"/>
    </w:pPr>
    <w:rPr>
      <w:sz w:val="28"/>
      <w:szCs w:val="28"/>
    </w:rPr>
  </w:style>
  <w:style w:type="character" w:customStyle="1" w:styleId="BodyTextIndent2Char">
    <w:name w:val="Body Text Indent 2 Char"/>
    <w:basedOn w:val="DefaultParagraphFont"/>
    <w:link w:val="BodyTextIndent2"/>
    <w:rPr>
      <w:rFonts w:eastAsia="Times New Roman" w:cs="Times New Roman"/>
      <w:szCs w:val="28"/>
    </w:r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paragraph" w:styleId="Heading1">
    <w:name w:val="heading 1"/>
    <w:basedOn w:val="Normal"/>
    <w:next w:val="Normal"/>
    <w:link w:val="Heading1Char"/>
    <w:qFormat/>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cs="Times New Roman"/>
      <w:b/>
      <w:szCs w:val="24"/>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eastAsia="Times New Roman" w:cs="Times New Roman"/>
      <w:sz w:val="24"/>
      <w:szCs w:val="24"/>
    </w:rPr>
  </w:style>
  <w:style w:type="character" w:styleId="PageNumber">
    <w:name w:val="page number"/>
    <w:rPr>
      <w:rFonts w:ascii="Times New Roman" w:eastAsia="Times New Roman" w:hAnsi="Times New Roman" w:cs="Times New Roman"/>
    </w:rPr>
  </w:style>
  <w:style w:type="paragraph" w:styleId="BodyTextIndent">
    <w:name w:val="Body Text Indent"/>
    <w:basedOn w:val="Normal"/>
    <w:link w:val="BodyTextIndentChar"/>
    <w:pPr>
      <w:spacing w:before="120"/>
      <w:ind w:firstLine="567"/>
      <w:jc w:val="both"/>
    </w:pPr>
    <w:rPr>
      <w:sz w:val="28"/>
    </w:rPr>
  </w:style>
  <w:style w:type="character" w:customStyle="1" w:styleId="BodyTextIndentChar">
    <w:name w:val="Body Text Indent Char"/>
    <w:basedOn w:val="DefaultParagraphFont"/>
    <w:link w:val="BodyTextIndent"/>
    <w:rPr>
      <w:rFonts w:eastAsia="Times New Roman" w:cs="Times New Roman"/>
      <w:szCs w:val="24"/>
    </w:rPr>
  </w:style>
  <w:style w:type="paragraph" w:styleId="BodyTextIndent2">
    <w:name w:val="Body Text Indent 2"/>
    <w:basedOn w:val="Normal"/>
    <w:link w:val="BodyTextIndent2Char"/>
    <w:pPr>
      <w:spacing w:before="120"/>
      <w:ind w:firstLine="748"/>
      <w:jc w:val="both"/>
    </w:pPr>
    <w:rPr>
      <w:sz w:val="28"/>
      <w:szCs w:val="28"/>
    </w:rPr>
  </w:style>
  <w:style w:type="character" w:customStyle="1" w:styleId="BodyTextIndent2Char">
    <w:name w:val="Body Text Indent 2 Char"/>
    <w:basedOn w:val="DefaultParagraphFont"/>
    <w:link w:val="BodyTextIndent2"/>
    <w:rPr>
      <w:rFonts w:eastAsia="Times New Roman" w:cs="Times New Roman"/>
      <w:szCs w:val="28"/>
    </w:r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6175">
      <w:bodyDiv w:val="1"/>
      <w:marLeft w:val="0"/>
      <w:marRight w:val="0"/>
      <w:marTop w:val="0"/>
      <w:marBottom w:val="0"/>
      <w:divBdr>
        <w:top w:val="none" w:sz="0" w:space="0" w:color="auto"/>
        <w:left w:val="none" w:sz="0" w:space="0" w:color="auto"/>
        <w:bottom w:val="none" w:sz="0" w:space="0" w:color="auto"/>
        <w:right w:val="none" w:sz="0" w:space="0" w:color="auto"/>
      </w:divBdr>
    </w:div>
    <w:div w:id="381365548">
      <w:bodyDiv w:val="1"/>
      <w:marLeft w:val="0"/>
      <w:marRight w:val="0"/>
      <w:marTop w:val="0"/>
      <w:marBottom w:val="0"/>
      <w:divBdr>
        <w:top w:val="none" w:sz="0" w:space="0" w:color="auto"/>
        <w:left w:val="none" w:sz="0" w:space="0" w:color="auto"/>
        <w:bottom w:val="none" w:sz="0" w:space="0" w:color="auto"/>
        <w:right w:val="none" w:sz="0" w:space="0" w:color="auto"/>
      </w:divBdr>
      <w:divsChild>
        <w:div w:id="1882085603">
          <w:marLeft w:val="547"/>
          <w:marRight w:val="0"/>
          <w:marTop w:val="0"/>
          <w:marBottom w:val="151"/>
          <w:divBdr>
            <w:top w:val="none" w:sz="0" w:space="0" w:color="auto"/>
            <w:left w:val="none" w:sz="0" w:space="0" w:color="auto"/>
            <w:bottom w:val="none" w:sz="0" w:space="0" w:color="auto"/>
            <w:right w:val="none" w:sz="0" w:space="0" w:color="auto"/>
          </w:divBdr>
        </w:div>
      </w:divsChild>
    </w:div>
    <w:div w:id="11924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F5D6AE7-0F44-4DEC-B3DD-DDAC8AAC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60</cp:revision>
  <dcterms:created xsi:type="dcterms:W3CDTF">2025-11-16T08:21:00Z</dcterms:created>
  <dcterms:modified xsi:type="dcterms:W3CDTF">2025-11-20T05:22:00Z</dcterms:modified>
</cp:coreProperties>
</file>